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EC" w:rsidRPr="00DF260B" w:rsidRDefault="0022698E" w:rsidP="001C30EC">
      <w:pPr>
        <w:jc w:val="center"/>
        <w:rPr>
          <w:b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1C30EC" w:rsidRPr="001C30EC">
        <w:rPr>
          <w:b/>
          <w:u w:val="single"/>
        </w:rPr>
        <w:t>Anthropology 3</w:t>
      </w:r>
      <w:r w:rsidR="0001413E">
        <w:rPr>
          <w:b/>
          <w:u w:val="single"/>
        </w:rPr>
        <w:t>597.04</w:t>
      </w:r>
    </w:p>
    <w:p w:rsidR="00E142D0" w:rsidRDefault="00E142D0" w:rsidP="000B1631">
      <w:pPr>
        <w:rPr>
          <w:rFonts w:eastAsia="Times New Roman" w:cs="Arial"/>
          <w:b/>
          <w:szCs w:val="20"/>
          <w:u w:val="single"/>
        </w:rPr>
      </w:pPr>
    </w:p>
    <w:p w:rsidR="00DF260B" w:rsidRDefault="00DF260B" w:rsidP="000B1631">
      <w:pPr>
        <w:rPr>
          <w:rFonts w:eastAsia="Times New Roman" w:cs="Arial"/>
          <w:b/>
          <w:szCs w:val="20"/>
          <w:u w:val="single"/>
        </w:rPr>
      </w:pPr>
      <w:r>
        <w:rPr>
          <w:rFonts w:eastAsia="Times New Roman" w:cs="Arial"/>
          <w:b/>
          <w:szCs w:val="20"/>
          <w:u w:val="single"/>
        </w:rPr>
        <w:t>Expected Learning Outcomes</w:t>
      </w:r>
    </w:p>
    <w:p w:rsidR="00DF260B" w:rsidRPr="00DF260B" w:rsidRDefault="00DF260B" w:rsidP="000B1631">
      <w:pPr>
        <w:rPr>
          <w:rFonts w:eastAsia="Times New Roman" w:cs="Arial"/>
          <w:b/>
          <w:szCs w:val="20"/>
          <w:u w:val="single"/>
        </w:rPr>
      </w:pPr>
    </w:p>
    <w:p w:rsidR="001C4AFD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understand the basic facts, principles, theories and methods of modern science.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understand key events in the development of science and recognize that science is an evolving body of knowledge.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describe the inter-dependence of scientific and technological developments.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recognize social and philosophical implications of scientific discoveries and understand the potential of science and technology to address problems of the contemporary world.</w:t>
      </w:r>
    </w:p>
    <w:p w:rsidR="0068167D" w:rsidRDefault="0068167D"/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170"/>
        <w:gridCol w:w="5935"/>
        <w:gridCol w:w="1170"/>
        <w:gridCol w:w="1980"/>
        <w:gridCol w:w="3960"/>
      </w:tblGrid>
      <w:tr w:rsidR="001C1678" w:rsidTr="006E1B1F">
        <w:trPr>
          <w:tblHeader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78" w:rsidRPr="0068167D" w:rsidRDefault="001C30EC" w:rsidP="0001413E">
            <w:pPr>
              <w:jc w:val="center"/>
              <w:rPr>
                <w:b/>
                <w:smallCaps/>
              </w:rPr>
            </w:pPr>
            <w:r>
              <w:rPr>
                <w:b/>
              </w:rPr>
              <w:t xml:space="preserve">Anthro </w:t>
            </w:r>
            <w:r w:rsidR="0001413E">
              <w:rPr>
                <w:b/>
              </w:rPr>
              <w:t>3597.04</w:t>
            </w: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678" w:rsidRPr="0068167D" w:rsidRDefault="001C1678" w:rsidP="0068167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Topic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1C167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ELO(s) Satisfied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1C167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Assessment Direct Measure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68167D">
            <w:pPr>
              <w:jc w:val="center"/>
              <w:rPr>
                <w:b/>
                <w:smallCaps/>
              </w:rPr>
            </w:pPr>
          </w:p>
        </w:tc>
      </w:tr>
      <w:tr w:rsidR="001C1678" w:rsidTr="006E1B1F"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1678" w:rsidRDefault="001C1678" w:rsidP="0068167D">
            <w:pPr>
              <w:jc w:val="center"/>
            </w:pPr>
            <w:r>
              <w:t>Week 1</w:t>
            </w:r>
          </w:p>
        </w:tc>
        <w:tc>
          <w:tcPr>
            <w:tcW w:w="5935" w:type="dxa"/>
            <w:vAlign w:val="center"/>
          </w:tcPr>
          <w:p w:rsidR="001C1678" w:rsidRPr="0068167D" w:rsidRDefault="00D71FCC" w:rsidP="00D71FCC">
            <w:pPr>
              <w:rPr>
                <w:szCs w:val="20"/>
              </w:rPr>
            </w:pPr>
            <w:r>
              <w:t xml:space="preserve">Introduction to genes, loci, proteins, genomics and proteomics – Why anthropology – </w:t>
            </w:r>
            <w:r w:rsidRPr="00BD5787">
              <w:t>Environment of Evolutionary Adaptation (EEA)</w:t>
            </w:r>
            <w:r>
              <w:t xml:space="preserve"> – </w:t>
            </w:r>
            <w:r w:rsidRPr="00BD5787">
              <w:t xml:space="preserve">Reading the </w:t>
            </w:r>
            <w:r>
              <w:t>Scientific</w:t>
            </w:r>
            <w:r w:rsidRPr="00BD5787">
              <w:t xml:space="preserve"> Literature</w:t>
            </w:r>
            <w:r>
              <w:t xml:space="preserve"> – the </w:t>
            </w:r>
            <w:proofErr w:type="spellStart"/>
            <w:r>
              <w:t>omics</w:t>
            </w:r>
            <w:proofErr w:type="spellEnd"/>
            <w:r>
              <w:t xml:space="preserve"> r</w:t>
            </w:r>
            <w:r w:rsidRPr="00BD5787">
              <w:t>evolution</w:t>
            </w:r>
            <w:r>
              <w:t>, microarrays, CRISPR.</w:t>
            </w:r>
          </w:p>
        </w:tc>
        <w:tc>
          <w:tcPr>
            <w:tcW w:w="1170" w:type="dxa"/>
            <w:vAlign w:val="center"/>
          </w:tcPr>
          <w:p w:rsidR="001C1678" w:rsidRDefault="001C1678" w:rsidP="0068167D"/>
        </w:tc>
        <w:tc>
          <w:tcPr>
            <w:tcW w:w="1980" w:type="dxa"/>
            <w:vAlign w:val="center"/>
          </w:tcPr>
          <w:p w:rsidR="001C1678" w:rsidRDefault="001C1678" w:rsidP="001C1678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t>Week 2</w:t>
            </w:r>
          </w:p>
        </w:tc>
        <w:tc>
          <w:tcPr>
            <w:tcW w:w="5935" w:type="dxa"/>
            <w:vAlign w:val="center"/>
          </w:tcPr>
          <w:p w:rsidR="001C1678" w:rsidRDefault="00D71FCC" w:rsidP="00D71FCC">
            <w:r>
              <w:t>Epigenetics and microRNAs – Changing health in the 19</w:t>
            </w:r>
            <w:r w:rsidRPr="00E804C6">
              <w:rPr>
                <w:vertAlign w:val="superscript"/>
              </w:rPr>
              <w:t>th</w:t>
            </w:r>
            <w:r>
              <w:t xml:space="preserve"> through 21</w:t>
            </w:r>
            <w:r w:rsidRPr="00E804C6">
              <w:rPr>
                <w:vertAlign w:val="superscript"/>
              </w:rPr>
              <w:t>st</w:t>
            </w:r>
            <w:r>
              <w:t xml:space="preserve"> centuries –</w:t>
            </w:r>
            <w:r>
              <w:tab/>
              <w:t>Personalized or Impersonal medicine and Genomics.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1, 2</w:t>
            </w:r>
          </w:p>
        </w:tc>
        <w:tc>
          <w:tcPr>
            <w:tcW w:w="1980" w:type="dxa"/>
            <w:vAlign w:val="center"/>
          </w:tcPr>
          <w:p w:rsidR="001C1678" w:rsidRDefault="007B55B8" w:rsidP="0068167D">
            <w:r>
              <w:t>10-question mock quiz.</w:t>
            </w:r>
          </w:p>
        </w:tc>
        <w:tc>
          <w:tcPr>
            <w:tcW w:w="3960" w:type="dxa"/>
            <w:vAlign w:val="center"/>
          </w:tcPr>
          <w:p w:rsidR="001C1678" w:rsidRDefault="0013654A" w:rsidP="0013654A">
            <w:r>
              <w:t>A pre-test for 10 questions that will be re-tested throughout the term embedded in quizzes.</w:t>
            </w:r>
          </w:p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t>Week 3</w:t>
            </w:r>
          </w:p>
        </w:tc>
        <w:tc>
          <w:tcPr>
            <w:tcW w:w="5935" w:type="dxa"/>
            <w:vAlign w:val="center"/>
          </w:tcPr>
          <w:p w:rsidR="001C1678" w:rsidRPr="001C5031" w:rsidRDefault="00D71FCC" w:rsidP="006C57E8">
            <w:pPr>
              <w:rPr>
                <w:b/>
              </w:rPr>
            </w:pPr>
            <w:r>
              <w:t xml:space="preserve">From DNA to phenotypes.  </w:t>
            </w:r>
            <w:r w:rsidRPr="00D71FCC">
              <w:rPr>
                <w:szCs w:val="20"/>
              </w:rPr>
              <w:t>Common genetic variation and human traits</w:t>
            </w:r>
            <w:r>
              <w:rPr>
                <w:szCs w:val="20"/>
              </w:rPr>
              <w:t xml:space="preserve">; </w:t>
            </w:r>
            <w:r w:rsidRPr="00D71FCC">
              <w:rPr>
                <w:szCs w:val="20"/>
              </w:rPr>
              <w:t>Genomics and its impact on science and society The HLA system, Cloning, Forces of Evolution</w:t>
            </w:r>
            <w:r w:rsidR="006C57E8">
              <w:rPr>
                <w:szCs w:val="20"/>
              </w:rPr>
              <w:t>.</w:t>
            </w:r>
            <w:r w:rsidR="001C5031">
              <w:rPr>
                <w:szCs w:val="20"/>
              </w:rPr>
              <w:t xml:space="preserve">  </w:t>
            </w:r>
            <w:r w:rsidR="001C5031">
              <w:rPr>
                <w:b/>
                <w:szCs w:val="20"/>
              </w:rPr>
              <w:t>Quiz.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1, 2</w:t>
            </w:r>
          </w:p>
        </w:tc>
        <w:tc>
          <w:tcPr>
            <w:tcW w:w="1980" w:type="dxa"/>
            <w:vAlign w:val="center"/>
          </w:tcPr>
          <w:p w:rsidR="001C1678" w:rsidRDefault="00D054BA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D054BA" w:rsidP="00AA4C46">
            <w:r>
              <w:t xml:space="preserve">Criteria </w:t>
            </w:r>
            <w:r>
              <w:rPr>
                <w:rFonts w:cs="Arial"/>
              </w:rPr>
              <w:t>≈</w:t>
            </w:r>
            <w:r>
              <w:t xml:space="preserve"> 75% (100% improvement </w:t>
            </w:r>
            <w:r w:rsidR="00AA4C46">
              <w:t>on</w:t>
            </w:r>
            <w:r>
              <w:t xml:space="preserve"> pre-test scores </w:t>
            </w:r>
            <w:r>
              <w:rPr>
                <w:rFonts w:cs="Arial"/>
              </w:rPr>
              <w:t>≤</w:t>
            </w:r>
            <w:r>
              <w:t xml:space="preserve"> 40%; 25% improvement </w:t>
            </w:r>
            <w:r w:rsidR="00AA4C46">
              <w:t>on</w:t>
            </w:r>
            <w:r>
              <w:t xml:space="preserve"> pre</w:t>
            </w:r>
            <w:r w:rsidR="00AA4C46">
              <w:t>-</w:t>
            </w:r>
            <w:r>
              <w:t xml:space="preserve">test </w:t>
            </w:r>
            <w:r w:rsidR="00AA4C46">
              <w:t xml:space="preserve">scores </w:t>
            </w:r>
            <w:r w:rsidR="00AA4C46">
              <w:rPr>
                <w:rFonts w:cs="Arial"/>
              </w:rPr>
              <w:t>between</w:t>
            </w:r>
            <w:r w:rsidR="00AA4C46">
              <w:t xml:space="preserve"> 50% and 75%; no criteria for pre-test scores </w:t>
            </w:r>
            <w:r w:rsidR="00AA4C46">
              <w:rPr>
                <w:rFonts w:cs="Arial"/>
              </w:rPr>
              <w:t>≥</w:t>
            </w:r>
            <w:r w:rsidR="00AA4C46">
              <w:t xml:space="preserve"> 75%)</w:t>
            </w:r>
          </w:p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t>Week 4</w:t>
            </w:r>
          </w:p>
        </w:tc>
        <w:tc>
          <w:tcPr>
            <w:tcW w:w="5935" w:type="dxa"/>
            <w:vAlign w:val="center"/>
          </w:tcPr>
          <w:p w:rsidR="001C1678" w:rsidRPr="006C57E8" w:rsidRDefault="006C57E8" w:rsidP="006C57E8">
            <w:pPr>
              <w:rPr>
                <w:szCs w:val="20"/>
              </w:rPr>
            </w:pPr>
            <w:r w:rsidRPr="006C57E8">
              <w:rPr>
                <w:szCs w:val="20"/>
              </w:rPr>
              <w:t xml:space="preserve">Evolution in action:  SARS, CCR5-delta32, single locus and multi-locus conditions, antagonistic </w:t>
            </w:r>
            <w:proofErr w:type="spellStart"/>
            <w:r w:rsidRPr="006C57E8">
              <w:rPr>
                <w:szCs w:val="20"/>
              </w:rPr>
              <w:t>pleiotropy</w:t>
            </w:r>
            <w:proofErr w:type="spellEnd"/>
            <w:r w:rsidRPr="006C57E8">
              <w:rPr>
                <w:szCs w:val="20"/>
              </w:rPr>
              <w:t>, epistasis, gene-environment interactions – Modern Human Variation – Ecological Fallacies – The New Eugenics</w:t>
            </w:r>
            <w:r>
              <w:rPr>
                <w:szCs w:val="20"/>
              </w:rPr>
              <w:t>.</w:t>
            </w:r>
          </w:p>
        </w:tc>
        <w:tc>
          <w:tcPr>
            <w:tcW w:w="1170" w:type="dxa"/>
            <w:vAlign w:val="center"/>
          </w:tcPr>
          <w:p w:rsidR="0094264B" w:rsidRDefault="0014359F" w:rsidP="0068167D">
            <w:r>
              <w:t>1, 2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t>Week 5</w:t>
            </w:r>
          </w:p>
        </w:tc>
        <w:tc>
          <w:tcPr>
            <w:tcW w:w="5935" w:type="dxa"/>
            <w:vAlign w:val="center"/>
          </w:tcPr>
          <w:p w:rsidR="001C1678" w:rsidRPr="006C57E8" w:rsidRDefault="006C57E8" w:rsidP="006C57E8">
            <w:pPr>
              <w:rPr>
                <w:szCs w:val="20"/>
              </w:rPr>
            </w:pPr>
            <w:r w:rsidRPr="006C57E8">
              <w:rPr>
                <w:szCs w:val="20"/>
              </w:rPr>
              <w:t>Biological determinism, sociobiology, natural experiments, heritability, non-</w:t>
            </w:r>
            <w:r w:rsidRPr="006C57E8">
              <w:rPr>
                <w:szCs w:val="20"/>
              </w:rPr>
              <w:tab/>
              <w:t>communicable diseases and chronic degenerative conditions, cholesterol, salt, integrating genetics with epidemiology, evolutionary medicine and the future</w:t>
            </w:r>
            <w:r>
              <w:rPr>
                <w:szCs w:val="20"/>
              </w:rPr>
              <w:t>.</w:t>
            </w:r>
            <w:r w:rsidR="001C5031">
              <w:rPr>
                <w:szCs w:val="20"/>
              </w:rPr>
              <w:t xml:space="preserve">  </w:t>
            </w:r>
            <w:r w:rsidR="001C5031">
              <w:rPr>
                <w:b/>
                <w:szCs w:val="20"/>
              </w:rPr>
              <w:t>Quiz.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1</w:t>
            </w:r>
          </w:p>
        </w:tc>
        <w:tc>
          <w:tcPr>
            <w:tcW w:w="1980" w:type="dxa"/>
            <w:vAlign w:val="center"/>
          </w:tcPr>
          <w:p w:rsidR="001C1678" w:rsidRDefault="00D054BA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AA4C46" w:rsidP="0068167D">
            <w:r>
              <w:t xml:space="preserve">Criteria </w:t>
            </w:r>
            <w:r>
              <w:rPr>
                <w:rFonts w:cs="Arial"/>
              </w:rPr>
              <w:t>≈</w:t>
            </w:r>
            <w:r>
              <w:t xml:space="preserve"> 75% (100% improvement on pre-test scores </w:t>
            </w:r>
            <w:r>
              <w:rPr>
                <w:rFonts w:cs="Arial"/>
              </w:rPr>
              <w:t>≤</w:t>
            </w:r>
            <w:r>
              <w:t xml:space="preserve"> 40%; 25% improvement on pre-test scores </w:t>
            </w:r>
            <w:r>
              <w:rPr>
                <w:rFonts w:cs="Arial"/>
              </w:rPr>
              <w:t>between</w:t>
            </w:r>
            <w:r>
              <w:t xml:space="preserve"> 50% and 75%; no criteria for pre-test scores </w:t>
            </w:r>
            <w:r>
              <w:rPr>
                <w:rFonts w:cs="Arial"/>
              </w:rPr>
              <w:t>≥</w:t>
            </w:r>
            <w:r>
              <w:t xml:space="preserve"> 75%)</w:t>
            </w:r>
          </w:p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t>Week 6</w:t>
            </w:r>
          </w:p>
        </w:tc>
        <w:tc>
          <w:tcPr>
            <w:tcW w:w="5935" w:type="dxa"/>
            <w:vAlign w:val="center"/>
          </w:tcPr>
          <w:p w:rsidR="001C1678" w:rsidRDefault="006C57E8" w:rsidP="00AA4C46">
            <w:r w:rsidRPr="006C57E8">
              <w:rPr>
                <w:szCs w:val="20"/>
              </w:rPr>
              <w:t>“Impers</w:t>
            </w:r>
            <w:r w:rsidR="00B24BDE">
              <w:rPr>
                <w:szCs w:val="20"/>
              </w:rPr>
              <w:t>onal Genomics and Anthropology”</w:t>
            </w:r>
            <w:r>
              <w:rPr>
                <w:szCs w:val="20"/>
              </w:rPr>
              <w:t>;</w:t>
            </w:r>
            <w:r w:rsidRPr="006C57E8">
              <w:rPr>
                <w:szCs w:val="20"/>
              </w:rPr>
              <w:t xml:space="preserve"> “Common genetic variation and human traits</w:t>
            </w:r>
            <w:r>
              <w:rPr>
                <w:szCs w:val="20"/>
              </w:rPr>
              <w:t>”;</w:t>
            </w:r>
            <w:r w:rsidRPr="006C57E8">
              <w:rPr>
                <w:szCs w:val="20"/>
              </w:rPr>
              <w:t xml:space="preserve"> “Rethinking behavioral genetics”</w:t>
            </w:r>
            <w:r>
              <w:rPr>
                <w:szCs w:val="20"/>
              </w:rPr>
              <w:t>.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2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B24BDE">
            <w:pPr>
              <w:jc w:val="center"/>
            </w:pPr>
            <w:r>
              <w:t xml:space="preserve">Week </w:t>
            </w:r>
            <w:r w:rsidR="00B24BDE">
              <w:t>7</w:t>
            </w:r>
          </w:p>
        </w:tc>
        <w:tc>
          <w:tcPr>
            <w:tcW w:w="5935" w:type="dxa"/>
            <w:vAlign w:val="center"/>
          </w:tcPr>
          <w:p w:rsidR="001C1678" w:rsidRPr="00B24BDE" w:rsidRDefault="00B24BDE" w:rsidP="00B24BDE">
            <w:pPr>
              <w:rPr>
                <w:szCs w:val="20"/>
              </w:rPr>
            </w:pPr>
            <w:r w:rsidRPr="00B24BDE">
              <w:rPr>
                <w:szCs w:val="20"/>
              </w:rPr>
              <w:t>“The double puzzle of diabetes”;  “Nature, nurture and human disease”; “Gene-culture coevolution between cattle milk protein genes and human lactase genes”; “Private and public eugenics: Genetic testing and screening in India</w:t>
            </w:r>
            <w:r>
              <w:rPr>
                <w:szCs w:val="20"/>
              </w:rPr>
              <w:t>”.</w:t>
            </w:r>
            <w:r w:rsidR="001C5031">
              <w:rPr>
                <w:szCs w:val="20"/>
              </w:rPr>
              <w:t xml:space="preserve">  </w:t>
            </w:r>
            <w:r w:rsidR="001C5031">
              <w:rPr>
                <w:b/>
                <w:szCs w:val="20"/>
              </w:rPr>
              <w:t>Quiz.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1, 3</w:t>
            </w:r>
          </w:p>
        </w:tc>
        <w:tc>
          <w:tcPr>
            <w:tcW w:w="1980" w:type="dxa"/>
            <w:vAlign w:val="center"/>
          </w:tcPr>
          <w:p w:rsidR="001C1678" w:rsidRDefault="00E97860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AA4C46" w:rsidP="00187A82">
            <w:r>
              <w:t xml:space="preserve">Criteria </w:t>
            </w:r>
            <w:r>
              <w:rPr>
                <w:rFonts w:cs="Arial"/>
              </w:rPr>
              <w:t>≈</w:t>
            </w:r>
            <w:r>
              <w:t xml:space="preserve"> 75% (100% improvement on pre-test scores </w:t>
            </w:r>
            <w:r>
              <w:rPr>
                <w:rFonts w:cs="Arial"/>
              </w:rPr>
              <w:t>≤</w:t>
            </w:r>
            <w:r>
              <w:t xml:space="preserve"> 40%; 25% improvement on pre-test scores </w:t>
            </w:r>
            <w:r>
              <w:rPr>
                <w:rFonts w:cs="Arial"/>
              </w:rPr>
              <w:t>between</w:t>
            </w:r>
            <w:r>
              <w:t xml:space="preserve"> 50% and 75%; no criteria for pre-test scores </w:t>
            </w:r>
            <w:r>
              <w:rPr>
                <w:rFonts w:cs="Arial"/>
              </w:rPr>
              <w:t>≥</w:t>
            </w:r>
            <w:r>
              <w:t xml:space="preserve"> 75%)</w:t>
            </w:r>
          </w:p>
        </w:tc>
      </w:tr>
      <w:tr w:rsidR="00B24BDE" w:rsidTr="006E1B1F">
        <w:tc>
          <w:tcPr>
            <w:tcW w:w="1170" w:type="dxa"/>
            <w:vAlign w:val="center"/>
          </w:tcPr>
          <w:p w:rsidR="00B24BDE" w:rsidRDefault="00B24BDE" w:rsidP="0068167D">
            <w:pPr>
              <w:jc w:val="center"/>
            </w:pPr>
            <w:r>
              <w:t>Week 8</w:t>
            </w:r>
          </w:p>
        </w:tc>
        <w:tc>
          <w:tcPr>
            <w:tcW w:w="5935" w:type="dxa"/>
            <w:vAlign w:val="center"/>
          </w:tcPr>
          <w:p w:rsidR="00B24BDE" w:rsidRDefault="00B24BDE" w:rsidP="00B24BDE">
            <w:r>
              <w:t>“Your genes and privacy”; “ASHG statement on direct-to-consumer genetic testing in the US”; “The prospect of genome-guided preventive medicine: A need and opportunity for genetic counselors”.</w:t>
            </w:r>
          </w:p>
        </w:tc>
        <w:tc>
          <w:tcPr>
            <w:tcW w:w="1170" w:type="dxa"/>
            <w:vAlign w:val="center"/>
          </w:tcPr>
          <w:p w:rsidR="00B24BDE" w:rsidRDefault="0014359F" w:rsidP="0068167D">
            <w:r>
              <w:t>3</w:t>
            </w:r>
          </w:p>
        </w:tc>
        <w:tc>
          <w:tcPr>
            <w:tcW w:w="1980" w:type="dxa"/>
            <w:vAlign w:val="center"/>
          </w:tcPr>
          <w:p w:rsidR="00B24BDE" w:rsidRDefault="00B24BDE" w:rsidP="0068167D"/>
        </w:tc>
        <w:tc>
          <w:tcPr>
            <w:tcW w:w="3960" w:type="dxa"/>
            <w:vAlign w:val="center"/>
          </w:tcPr>
          <w:p w:rsidR="00B24BDE" w:rsidRDefault="00B24BDE" w:rsidP="0068167D"/>
        </w:tc>
      </w:tr>
      <w:tr w:rsidR="001C1678" w:rsidTr="006E1B1F">
        <w:trPr>
          <w:cantSplit/>
        </w:trPr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lastRenderedPageBreak/>
              <w:t>Week 9</w:t>
            </w:r>
          </w:p>
        </w:tc>
        <w:tc>
          <w:tcPr>
            <w:tcW w:w="5935" w:type="dxa"/>
            <w:vAlign w:val="center"/>
          </w:tcPr>
          <w:p w:rsidR="001C1678" w:rsidRDefault="00086C19" w:rsidP="00086C19">
            <w:r>
              <w:t xml:space="preserve">“Influence of life stress on depression: Moderation by polymorphism in the 5-HTT gene”; “Genetic variation, classification and 'race'”; “Double helix jeopardy”; “Tales of a prehistoric human genome”; </w:t>
            </w:r>
            <w:r w:rsidRPr="00F7329A">
              <w:t>“How does scientific risk assessment of GM crops fit within the wider risk analysis?”</w:t>
            </w:r>
            <w:r w:rsidR="001C5031">
              <w:t xml:space="preserve">  </w:t>
            </w:r>
            <w:r w:rsidR="001C5031">
              <w:rPr>
                <w:b/>
                <w:szCs w:val="20"/>
              </w:rPr>
              <w:t>Quiz.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3, 4</w:t>
            </w:r>
          </w:p>
        </w:tc>
        <w:tc>
          <w:tcPr>
            <w:tcW w:w="1980" w:type="dxa"/>
            <w:vAlign w:val="center"/>
          </w:tcPr>
          <w:p w:rsidR="001C1678" w:rsidRDefault="00D054BA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AA4C46" w:rsidP="0068167D">
            <w:r>
              <w:t xml:space="preserve">Criteria </w:t>
            </w:r>
            <w:r>
              <w:rPr>
                <w:rFonts w:cs="Arial"/>
              </w:rPr>
              <w:t>≈</w:t>
            </w:r>
            <w:r>
              <w:t xml:space="preserve"> 75% (100% improvement on pre-test scores </w:t>
            </w:r>
            <w:r>
              <w:rPr>
                <w:rFonts w:cs="Arial"/>
              </w:rPr>
              <w:t>≤</w:t>
            </w:r>
            <w:r>
              <w:t xml:space="preserve"> 40%; 25% improvement on pre-test scores </w:t>
            </w:r>
            <w:r>
              <w:rPr>
                <w:rFonts w:cs="Arial"/>
              </w:rPr>
              <w:t>between</w:t>
            </w:r>
            <w:r>
              <w:t xml:space="preserve"> 50% and 75%; no criteria for pre-test scores </w:t>
            </w:r>
            <w:r>
              <w:rPr>
                <w:rFonts w:cs="Arial"/>
              </w:rPr>
              <w:t>≥</w:t>
            </w:r>
            <w:r>
              <w:t xml:space="preserve"> 75%)</w:t>
            </w:r>
          </w:p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t>Week 10</w:t>
            </w:r>
          </w:p>
        </w:tc>
        <w:tc>
          <w:tcPr>
            <w:tcW w:w="5935" w:type="dxa"/>
            <w:vAlign w:val="center"/>
          </w:tcPr>
          <w:p w:rsidR="001C1678" w:rsidRDefault="00086C19" w:rsidP="00086C19">
            <w:r>
              <w:t xml:space="preserve">“Maize plants: An ideal production platform for effective and safe molecular pharming”; “Human health concerns with GM crops”; “How does scientific risk assessment of GM crops fit within the wider risk </w:t>
            </w:r>
            <w:r w:rsidRPr="00561AD8">
              <w:t>analysis?”</w:t>
            </w:r>
            <w:r>
              <w:t>; “Consumer risk perceptions toward agricultural biotechnology, self-protection, and food demand: The case of milk in the US”.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3, 4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t>Week 11</w:t>
            </w:r>
          </w:p>
        </w:tc>
        <w:tc>
          <w:tcPr>
            <w:tcW w:w="5935" w:type="dxa"/>
            <w:vAlign w:val="center"/>
          </w:tcPr>
          <w:p w:rsidR="001C1678" w:rsidRPr="001C5031" w:rsidRDefault="00086C19" w:rsidP="00086C19">
            <w:pPr>
              <w:rPr>
                <w:b/>
              </w:rPr>
            </w:pPr>
            <w:r>
              <w:t>“Gene patenting: Is the pendulum swinging back?”; “Did the end of smallpox vaccination cause the explosive spread of HIV?”; “First birth of an animal from an extinct subspecies (</w:t>
            </w:r>
            <w:r w:rsidRPr="00BE258E">
              <w:rPr>
                <w:i/>
              </w:rPr>
              <w:t xml:space="preserve">Capra </w:t>
            </w:r>
            <w:proofErr w:type="spellStart"/>
            <w:r w:rsidRPr="00BE258E">
              <w:rPr>
                <w:i/>
              </w:rPr>
              <w:t>pyrenaica</w:t>
            </w:r>
            <w:proofErr w:type="spellEnd"/>
            <w:r w:rsidRPr="00BE258E">
              <w:rPr>
                <w:i/>
              </w:rPr>
              <w:t xml:space="preserve"> </w:t>
            </w:r>
            <w:proofErr w:type="spellStart"/>
            <w:r w:rsidRPr="00BE258E">
              <w:rPr>
                <w:i/>
              </w:rPr>
              <w:t>pyrenaica</w:t>
            </w:r>
            <w:proofErr w:type="spellEnd"/>
            <w:r>
              <w:t>) by cloning”; “The dangers of diagnostic monopolies”.</w:t>
            </w:r>
            <w:r w:rsidR="001C5031">
              <w:t xml:space="preserve">  </w:t>
            </w:r>
            <w:r w:rsidR="001C5031">
              <w:rPr>
                <w:b/>
              </w:rPr>
              <w:t>Midterm Exam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4</w:t>
            </w:r>
          </w:p>
        </w:tc>
        <w:tc>
          <w:tcPr>
            <w:tcW w:w="1980" w:type="dxa"/>
            <w:vAlign w:val="center"/>
          </w:tcPr>
          <w:p w:rsidR="001C1678" w:rsidRDefault="00D054BA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AA4C46" w:rsidP="0068167D">
            <w:r>
              <w:t xml:space="preserve">Criteria </w:t>
            </w:r>
            <w:r>
              <w:rPr>
                <w:rFonts w:cs="Arial"/>
              </w:rPr>
              <w:t>≈</w:t>
            </w:r>
            <w:r>
              <w:t xml:space="preserve"> 75% (100% improvement on pre-test scores </w:t>
            </w:r>
            <w:r>
              <w:rPr>
                <w:rFonts w:cs="Arial"/>
              </w:rPr>
              <w:t>≤</w:t>
            </w:r>
            <w:r>
              <w:t xml:space="preserve"> 40%; 25% improvement on pre-test scores </w:t>
            </w:r>
            <w:r>
              <w:rPr>
                <w:rFonts w:cs="Arial"/>
              </w:rPr>
              <w:t>between</w:t>
            </w:r>
            <w:r>
              <w:t xml:space="preserve"> 50% and 75%; no criteria for pre-test scores </w:t>
            </w:r>
            <w:r>
              <w:rPr>
                <w:rFonts w:cs="Arial"/>
              </w:rPr>
              <w:t>≥</w:t>
            </w:r>
            <w:r>
              <w:t xml:space="preserve"> 75%)</w:t>
            </w:r>
          </w:p>
        </w:tc>
      </w:tr>
      <w:tr w:rsidR="001C1678" w:rsidTr="006E1B1F">
        <w:tc>
          <w:tcPr>
            <w:tcW w:w="1170" w:type="dxa"/>
            <w:vAlign w:val="center"/>
          </w:tcPr>
          <w:p w:rsidR="001C1678" w:rsidRDefault="001C1678" w:rsidP="0068167D">
            <w:pPr>
              <w:jc w:val="center"/>
            </w:pPr>
            <w:r>
              <w:t>Week 12</w:t>
            </w:r>
          </w:p>
        </w:tc>
        <w:tc>
          <w:tcPr>
            <w:tcW w:w="5935" w:type="dxa"/>
            <w:vAlign w:val="center"/>
          </w:tcPr>
          <w:p w:rsidR="001C1678" w:rsidRDefault="00056021" w:rsidP="00056021">
            <w:r w:rsidRPr="00562E70">
              <w:t>“Prenatal genetic testing kits sold at your local pharmacy: promoting autonomy or promoting confusion?”</w:t>
            </w:r>
            <w:r>
              <w:t>; “Meet your unborn child – before it’s even conceived”; “Common DNA markers can account for more than half of the genetic influence on cognitive abilities”.</w:t>
            </w:r>
          </w:p>
        </w:tc>
        <w:tc>
          <w:tcPr>
            <w:tcW w:w="1170" w:type="dxa"/>
            <w:vAlign w:val="center"/>
          </w:tcPr>
          <w:p w:rsidR="001C1678" w:rsidRDefault="0014359F" w:rsidP="0068167D">
            <w:r>
              <w:t>4</w:t>
            </w:r>
          </w:p>
        </w:tc>
        <w:tc>
          <w:tcPr>
            <w:tcW w:w="1980" w:type="dxa"/>
            <w:vAlign w:val="center"/>
          </w:tcPr>
          <w:p w:rsidR="001C1678" w:rsidRDefault="00D054BA" w:rsidP="0068167D">
            <w:r>
              <w:t>Student survey (indirect measure)</w:t>
            </w:r>
          </w:p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5031" w:rsidTr="006E1B1F">
        <w:tc>
          <w:tcPr>
            <w:tcW w:w="1170" w:type="dxa"/>
            <w:vAlign w:val="center"/>
          </w:tcPr>
          <w:p w:rsidR="001C5031" w:rsidRDefault="001C5031" w:rsidP="0068167D">
            <w:pPr>
              <w:jc w:val="center"/>
            </w:pPr>
            <w:r>
              <w:t>Week 14</w:t>
            </w:r>
          </w:p>
        </w:tc>
        <w:tc>
          <w:tcPr>
            <w:tcW w:w="5935" w:type="dxa"/>
            <w:vAlign w:val="center"/>
          </w:tcPr>
          <w:p w:rsidR="00520BDD" w:rsidRDefault="00520BDD" w:rsidP="0068167D">
            <w:r>
              <w:t>Student presentations; Papers due.</w:t>
            </w:r>
          </w:p>
          <w:p w:rsidR="001C5031" w:rsidRDefault="001C5031" w:rsidP="0068167D">
            <w:pPr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1170" w:type="dxa"/>
            <w:vAlign w:val="center"/>
          </w:tcPr>
          <w:p w:rsidR="001C5031" w:rsidRDefault="001C5031" w:rsidP="0068167D"/>
        </w:tc>
        <w:tc>
          <w:tcPr>
            <w:tcW w:w="1980" w:type="dxa"/>
            <w:vAlign w:val="center"/>
          </w:tcPr>
          <w:p w:rsidR="001C5031" w:rsidRDefault="00D054BA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5031" w:rsidRDefault="00AA4C46" w:rsidP="00DF260B">
            <w:r>
              <w:t xml:space="preserve">Criteria </w:t>
            </w:r>
            <w:r>
              <w:rPr>
                <w:rFonts w:cs="Arial"/>
              </w:rPr>
              <w:t>≈</w:t>
            </w:r>
            <w:r>
              <w:t xml:space="preserve"> 75% (100% improvement on pre-test scores </w:t>
            </w:r>
            <w:r>
              <w:rPr>
                <w:rFonts w:cs="Arial"/>
              </w:rPr>
              <w:t>≤</w:t>
            </w:r>
            <w:r>
              <w:t xml:space="preserve"> 40%; 25% improvement on pre-test scores </w:t>
            </w:r>
            <w:r>
              <w:rPr>
                <w:rFonts w:cs="Arial"/>
              </w:rPr>
              <w:t>between</w:t>
            </w:r>
            <w:r>
              <w:t xml:space="preserve"> 50% and 75%; no criteria for pre-test scores </w:t>
            </w:r>
            <w:r>
              <w:rPr>
                <w:rFonts w:cs="Arial"/>
              </w:rPr>
              <w:t>≥</w:t>
            </w:r>
            <w:r>
              <w:t xml:space="preserve"> 75%)</w:t>
            </w:r>
          </w:p>
        </w:tc>
      </w:tr>
    </w:tbl>
    <w:p w:rsidR="0068167D" w:rsidRDefault="0068167D"/>
    <w:sectPr w:rsidR="0068167D" w:rsidSect="004474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5CFC"/>
    <w:multiLevelType w:val="hybridMultilevel"/>
    <w:tmpl w:val="A4FABE6A"/>
    <w:lvl w:ilvl="0" w:tplc="87C063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D"/>
    <w:rsid w:val="0001413E"/>
    <w:rsid w:val="00056021"/>
    <w:rsid w:val="00086C19"/>
    <w:rsid w:val="000B1631"/>
    <w:rsid w:val="000C265F"/>
    <w:rsid w:val="00122A01"/>
    <w:rsid w:val="0013654A"/>
    <w:rsid w:val="0014359F"/>
    <w:rsid w:val="00187A82"/>
    <w:rsid w:val="001A0D7D"/>
    <w:rsid w:val="001C1678"/>
    <w:rsid w:val="001C30EC"/>
    <w:rsid w:val="001C4AFD"/>
    <w:rsid w:val="001C5031"/>
    <w:rsid w:val="0022698E"/>
    <w:rsid w:val="003258AE"/>
    <w:rsid w:val="00325903"/>
    <w:rsid w:val="004474B1"/>
    <w:rsid w:val="004B2649"/>
    <w:rsid w:val="00520BDD"/>
    <w:rsid w:val="005670B5"/>
    <w:rsid w:val="005D4E02"/>
    <w:rsid w:val="00601601"/>
    <w:rsid w:val="0068167D"/>
    <w:rsid w:val="006C57E8"/>
    <w:rsid w:val="006E1B1F"/>
    <w:rsid w:val="006F6D4E"/>
    <w:rsid w:val="007237F8"/>
    <w:rsid w:val="007B55B8"/>
    <w:rsid w:val="00820E94"/>
    <w:rsid w:val="0085538D"/>
    <w:rsid w:val="0087069D"/>
    <w:rsid w:val="0094264B"/>
    <w:rsid w:val="00A036D9"/>
    <w:rsid w:val="00AA4C46"/>
    <w:rsid w:val="00AF6ECB"/>
    <w:rsid w:val="00B24BDE"/>
    <w:rsid w:val="00B47B9F"/>
    <w:rsid w:val="00BB4891"/>
    <w:rsid w:val="00BE4669"/>
    <w:rsid w:val="00D054BA"/>
    <w:rsid w:val="00D71FCC"/>
    <w:rsid w:val="00DB5C85"/>
    <w:rsid w:val="00DF260B"/>
    <w:rsid w:val="00E142D0"/>
    <w:rsid w:val="00E97860"/>
    <w:rsid w:val="00F0149B"/>
    <w:rsid w:val="00F06875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BC48C-4EAB-4046-B5A3-2AC4B93B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631"/>
    <w:pPr>
      <w:ind w:left="720"/>
      <w:contextualSpacing/>
    </w:pPr>
  </w:style>
  <w:style w:type="character" w:styleId="Hyperlink">
    <w:name w:val="Hyperlink"/>
    <w:uiPriority w:val="99"/>
    <w:rsid w:val="000560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2425-D7BC-43C1-BFB6-368683F3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Haddad, Deborah M.</dc:creator>
  <cp:lastModifiedBy>Haddad, Deborah M.</cp:lastModifiedBy>
  <cp:revision>10</cp:revision>
  <dcterms:created xsi:type="dcterms:W3CDTF">2014-11-17T18:41:00Z</dcterms:created>
  <dcterms:modified xsi:type="dcterms:W3CDTF">2014-11-18T14:54:00Z</dcterms:modified>
</cp:coreProperties>
</file>